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143E7" w14:textId="7A7262B3" w:rsidR="00A2666D" w:rsidRDefault="009D6B73">
      <w:pPr>
        <w:widowControl w:val="0"/>
        <w:tabs>
          <w:tab w:val="right" w:pos="9639"/>
        </w:tabs>
        <w:overflowPunct w:val="0"/>
        <w:autoSpaceDE w:val="0"/>
        <w:autoSpaceDN w:val="0"/>
        <w:adjustRightInd w:val="0"/>
        <w:spacing w:after="0"/>
        <w:jc w:val="both"/>
        <w:textAlignment w:val="baseline"/>
        <w:rPr>
          <w:rFonts w:ascii="Arial" w:hAnsi="Arial" w:cs="Arial"/>
          <w:b/>
          <w:bCs/>
          <w:i/>
          <w:sz w:val="24"/>
          <w:szCs w:val="24"/>
          <w:lang w:eastAsia="ja-JP"/>
        </w:rPr>
      </w:pPr>
      <w:bookmarkStart w:id="0" w:name="_Hlk519580081"/>
      <w:r>
        <w:rPr>
          <w:rFonts w:ascii="Arial" w:hAnsi="Arial" w:cs="Arial"/>
          <w:b/>
          <w:bCs/>
          <w:sz w:val="24"/>
          <w:szCs w:val="24"/>
          <w:lang w:eastAsia="ja-JP"/>
        </w:rPr>
        <w:t>3GPP TSG-RAN WG3 Meeting #112-e</w:t>
      </w:r>
      <w:r>
        <w:rPr>
          <w:rFonts w:ascii="Arial" w:hAnsi="Arial" w:cs="Arial"/>
          <w:b/>
          <w:bCs/>
          <w:sz w:val="24"/>
          <w:szCs w:val="24"/>
          <w:lang w:eastAsia="ja-JP"/>
        </w:rPr>
        <w:tab/>
        <w:t>R3-21</w:t>
      </w:r>
      <w:r w:rsidR="00FC549E">
        <w:rPr>
          <w:rFonts w:ascii="Arial" w:hAnsi="Arial" w:cs="Arial"/>
          <w:b/>
          <w:bCs/>
          <w:sz w:val="24"/>
          <w:szCs w:val="24"/>
          <w:lang w:eastAsia="ja-JP"/>
        </w:rPr>
        <w:t>1554</w:t>
      </w:r>
    </w:p>
    <w:bookmarkEnd w:id="0"/>
    <w:p w14:paraId="3966CD42" w14:textId="77777777" w:rsidR="00A2666D" w:rsidRDefault="009D6B73">
      <w:pPr>
        <w:widowControl w:val="0"/>
        <w:tabs>
          <w:tab w:val="left" w:pos="2410"/>
        </w:tabs>
        <w:overflowPunct w:val="0"/>
        <w:autoSpaceDE w:val="0"/>
        <w:autoSpaceDN w:val="0"/>
        <w:adjustRightInd w:val="0"/>
        <w:spacing w:after="0"/>
        <w:textAlignment w:val="baseline"/>
        <w:rPr>
          <w:rFonts w:ascii="Arial" w:eastAsia="MS Mincho" w:hAnsi="Arial" w:cs="Arial"/>
          <w:b/>
          <w:sz w:val="24"/>
          <w:szCs w:val="24"/>
          <w:lang w:eastAsia="ja-JP"/>
        </w:rPr>
      </w:pPr>
      <w:r>
        <w:rPr>
          <w:rFonts w:ascii="Arial" w:eastAsia="MS Mincho" w:hAnsi="Arial" w:cs="Arial"/>
          <w:b/>
          <w:sz w:val="24"/>
          <w:szCs w:val="24"/>
          <w:lang w:eastAsia="ja-JP"/>
        </w:rPr>
        <w:t>E-meeting, 17 – 28 May 2021</w:t>
      </w:r>
    </w:p>
    <w:p w14:paraId="37DD3CBC" w14:textId="77777777" w:rsidR="00A2666D" w:rsidRDefault="00A2666D">
      <w:pPr>
        <w:pStyle w:val="Header"/>
        <w:tabs>
          <w:tab w:val="left" w:pos="2410"/>
        </w:tabs>
        <w:rPr>
          <w:bCs/>
          <w:sz w:val="24"/>
        </w:rPr>
      </w:pPr>
    </w:p>
    <w:p w14:paraId="3D6FD762" w14:textId="77777777" w:rsidR="00A2666D" w:rsidRDefault="009D6B73">
      <w:pPr>
        <w:pStyle w:val="CRCoverPage"/>
        <w:tabs>
          <w:tab w:val="left" w:pos="1985"/>
          <w:tab w:val="left" w:pos="2410"/>
        </w:tabs>
        <w:rPr>
          <w:rFonts w:cs="Arial"/>
          <w:b/>
          <w:bCs/>
          <w:sz w:val="24"/>
          <w:lang w:eastAsia="ja-JP"/>
        </w:rPr>
      </w:pPr>
      <w:r>
        <w:rPr>
          <w:rFonts w:cs="Arial"/>
          <w:b/>
          <w:bCs/>
          <w:sz w:val="24"/>
        </w:rPr>
        <w:t>Agenda item:</w:t>
      </w:r>
      <w:r>
        <w:rPr>
          <w:rFonts w:cs="Arial"/>
          <w:b/>
          <w:bCs/>
          <w:sz w:val="24"/>
        </w:rPr>
        <w:tab/>
        <w:t>10.2.1.5</w:t>
      </w:r>
    </w:p>
    <w:p w14:paraId="06A69156" w14:textId="65EF0B26" w:rsidR="00A2666D" w:rsidRDefault="009D6B73">
      <w:pPr>
        <w:tabs>
          <w:tab w:val="left" w:pos="1985"/>
          <w:tab w:val="left" w:pos="2410"/>
        </w:tabs>
        <w:ind w:left="1985" w:hanging="1985"/>
        <w:rPr>
          <w:rFonts w:ascii="Arial" w:hAnsi="Arial" w:cs="Arial"/>
          <w:b/>
          <w:bCs/>
          <w:sz w:val="24"/>
          <w:lang w:val="en-US"/>
        </w:rPr>
      </w:pPr>
      <w:r>
        <w:rPr>
          <w:rFonts w:ascii="Arial" w:hAnsi="Arial" w:cs="Arial"/>
          <w:b/>
          <w:bCs/>
          <w:sz w:val="24"/>
        </w:rPr>
        <w:t>Source:</w:t>
      </w:r>
      <w:r>
        <w:rPr>
          <w:rFonts w:ascii="Arial" w:hAnsi="Arial" w:cs="Arial"/>
          <w:b/>
          <w:bCs/>
          <w:sz w:val="24"/>
        </w:rPr>
        <w:tab/>
        <w:t xml:space="preserve">Nokia, </w:t>
      </w:r>
      <w:r>
        <w:rPr>
          <w:rFonts w:ascii="Arial" w:hAnsi="Arial" w:cs="Arial"/>
          <w:b/>
          <w:bCs/>
          <w:sz w:val="24"/>
          <w:lang w:eastAsia="ja-JP"/>
        </w:rPr>
        <w:t xml:space="preserve">Nokia </w:t>
      </w:r>
      <w:r>
        <w:rPr>
          <w:rFonts w:ascii="Arial" w:hAnsi="Arial" w:cs="Arial"/>
          <w:b/>
          <w:bCs/>
          <w:sz w:val="24"/>
        </w:rPr>
        <w:t xml:space="preserve">Shanghai Bell, ZTE, Deutsche Telekom, </w:t>
      </w:r>
      <w:r w:rsidR="00686EDC">
        <w:rPr>
          <w:rFonts w:ascii="Arial" w:hAnsi="Arial" w:cs="Arial"/>
          <w:b/>
          <w:bCs/>
          <w:sz w:val="24"/>
        </w:rPr>
        <w:t>BT</w:t>
      </w:r>
      <w:r>
        <w:rPr>
          <w:rFonts w:ascii="Arial" w:hAnsi="Arial" w:cs="Arial"/>
          <w:b/>
          <w:bCs/>
          <w:sz w:val="24"/>
        </w:rPr>
        <w:t>, China Telecom</w:t>
      </w:r>
    </w:p>
    <w:p w14:paraId="3F2255B3" w14:textId="77777777" w:rsidR="00A2666D" w:rsidRDefault="009D6B73">
      <w:pPr>
        <w:tabs>
          <w:tab w:val="left" w:pos="2410"/>
        </w:tabs>
        <w:ind w:left="1985" w:hanging="1985"/>
        <w:rPr>
          <w:rFonts w:ascii="Arial" w:hAnsi="Arial" w:cs="Arial"/>
          <w:b/>
          <w:bCs/>
          <w:sz w:val="24"/>
        </w:rPr>
      </w:pPr>
      <w:r>
        <w:rPr>
          <w:rFonts w:ascii="Arial" w:hAnsi="Arial" w:cs="Arial"/>
          <w:b/>
          <w:bCs/>
          <w:sz w:val="24"/>
        </w:rPr>
        <w:t>Title:</w:t>
      </w:r>
      <w:r>
        <w:rPr>
          <w:rFonts w:ascii="Arial" w:hAnsi="Arial" w:cs="Arial"/>
          <w:b/>
          <w:bCs/>
          <w:sz w:val="24"/>
        </w:rPr>
        <w:tab/>
        <w:t>Further discussion on the information on PRB utilisation per slice</w:t>
      </w:r>
    </w:p>
    <w:p w14:paraId="233E9C7B" w14:textId="77777777" w:rsidR="00A2666D" w:rsidRDefault="009D6B73">
      <w:pPr>
        <w:tabs>
          <w:tab w:val="left" w:pos="1985"/>
          <w:tab w:val="left" w:pos="2410"/>
        </w:tabs>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3405D61A" w14:textId="77777777" w:rsidR="00A2666D" w:rsidRDefault="00A2666D">
      <w:pPr>
        <w:tabs>
          <w:tab w:val="left" w:pos="1985"/>
          <w:tab w:val="left" w:pos="2410"/>
        </w:tabs>
        <w:rPr>
          <w:rFonts w:ascii="Arial" w:hAnsi="Arial" w:cs="Arial"/>
          <w:bCs/>
          <w:sz w:val="24"/>
        </w:rPr>
      </w:pPr>
    </w:p>
    <w:p w14:paraId="5EF37EDB" w14:textId="77777777" w:rsidR="00A2666D" w:rsidRDefault="009D6B73">
      <w:pPr>
        <w:pStyle w:val="Heading1"/>
        <w:tabs>
          <w:tab w:val="left" w:pos="2410"/>
        </w:tabs>
      </w:pPr>
      <w:r>
        <w:t>1</w:t>
      </w:r>
      <w:r>
        <w:tab/>
        <w:t>Introduction</w:t>
      </w:r>
    </w:p>
    <w:p w14:paraId="3E56887A" w14:textId="77777777" w:rsidR="00A2666D" w:rsidRDefault="009D6B73">
      <w:bookmarkStart w:id="1" w:name="_Toc474247438"/>
      <w:r>
        <w:t xml:space="preserve">At RAN3 #110-e, it has been that the PRB related load metric will be enabled to be reported per slice on F1 and </w:t>
      </w:r>
      <w:proofErr w:type="spellStart"/>
      <w:r>
        <w:t>Xn</w:t>
      </w:r>
      <w:proofErr w:type="spellEnd"/>
      <w:r>
        <w:t>, but details were left for further discussion. Then, at RAN3 #111-e, it was agreed that the number of allocated (utilized % with respect to cell capacity) PRBs is to be reported per slice. What was still left open was if the information is to be further split into GBR and non-GBR traffic.</w:t>
      </w:r>
    </w:p>
    <w:p w14:paraId="18BE7FE6" w14:textId="77777777" w:rsidR="00A2666D" w:rsidRDefault="009D6B73">
      <w:r>
        <w:t>In this paper, we consider how it can be implemented in the simplest possible way, though still useful.</w:t>
      </w:r>
    </w:p>
    <w:p w14:paraId="5F3D4A48" w14:textId="77777777" w:rsidR="00A2666D" w:rsidRDefault="009D6B73">
      <w:pPr>
        <w:pStyle w:val="Heading1"/>
        <w:tabs>
          <w:tab w:val="left" w:pos="2410"/>
        </w:tabs>
      </w:pPr>
      <w:r>
        <w:t>2</w:t>
      </w:r>
      <w:r>
        <w:tab/>
        <w:t>Discussion</w:t>
      </w:r>
    </w:p>
    <w:bookmarkEnd w:id="1"/>
    <w:p w14:paraId="37FC45FC" w14:textId="77777777" w:rsidR="00A2666D" w:rsidRDefault="009D6B73">
      <w:r>
        <w:t xml:space="preserve">The history of the PRB utilisation in the load information was presented at RAN3 #111-e in [1]. In short, we’ve shown there that PRB utilisation has always been considered beneficial and used in combination with the composite available capacity. We’ve also explained that within a slice, only GBR and non-GBR traffic exists. </w:t>
      </w:r>
    </w:p>
    <w:p w14:paraId="6415956F" w14:textId="77777777" w:rsidR="00A2666D" w:rsidRDefault="009D6B73">
      <w:r>
        <w:t xml:space="preserve">In the discussion at the meeting, we </w:t>
      </w:r>
      <w:proofErr w:type="gramStart"/>
      <w:r>
        <w:t>provided also</w:t>
      </w:r>
      <w:proofErr w:type="gramEnd"/>
      <w:r>
        <w:t xml:space="preserve"> explanation why the information on </w:t>
      </w:r>
      <w:bookmarkStart w:id="2" w:name="_Hlk70062660"/>
      <w:r>
        <w:t xml:space="preserve">GBR and non-GBR traffic </w:t>
      </w:r>
      <w:bookmarkEnd w:id="2"/>
      <w:r>
        <w:t>is needed:</w:t>
      </w:r>
    </w:p>
    <w:p w14:paraId="2B12A8B4" w14:textId="06296929" w:rsidR="00A2666D" w:rsidRDefault="009D6B73">
      <w:pPr>
        <w:pStyle w:val="ListParagraph"/>
        <w:numPr>
          <w:ilvl w:val="0"/>
          <w:numId w:val="1"/>
        </w:numPr>
      </w:pPr>
      <w:r>
        <w:t>As acknowledged since Rel.9, it offers better information on types of load in slice</w:t>
      </w:r>
      <w:r w:rsidR="00C10E55">
        <w:t xml:space="preserve">s </w:t>
      </w:r>
      <w:r w:rsidR="00943FDC">
        <w:t xml:space="preserve">hosted </w:t>
      </w:r>
      <w:r w:rsidR="00C10E55">
        <w:t>in possible target cells</w:t>
      </w:r>
      <w:r>
        <w:t xml:space="preserve"> and thus to select the best </w:t>
      </w:r>
      <w:r w:rsidR="00C10E55">
        <w:t xml:space="preserve">target cell </w:t>
      </w:r>
      <w:r w:rsidR="0003000F">
        <w:t xml:space="preserve">for </w:t>
      </w:r>
      <w:r>
        <w:t>the service that is to be handed over as part of the load balancing action.</w:t>
      </w:r>
    </w:p>
    <w:p w14:paraId="05DED204" w14:textId="7CDB1961" w:rsidR="00A2666D" w:rsidRDefault="009D6B73">
      <w:pPr>
        <w:pStyle w:val="ListParagraph"/>
        <w:numPr>
          <w:ilvl w:val="0"/>
          <w:numId w:val="1"/>
        </w:numPr>
      </w:pPr>
      <w:r>
        <w:t>Since PRB utilization per cell is split into GBR and non-GBR, using the same type of information per slice enables better comparison of the information at different levels of load reporting.</w:t>
      </w:r>
    </w:p>
    <w:p w14:paraId="502BA803" w14:textId="7C699765" w:rsidR="00A2666D" w:rsidRDefault="009D6B73">
      <w:pPr>
        <w:rPr>
          <w:b/>
          <w:bCs/>
        </w:rPr>
      </w:pPr>
      <w:r>
        <w:rPr>
          <w:b/>
          <w:bCs/>
        </w:rPr>
        <w:t xml:space="preserve">Observation 1: Reporting PRB utilisation split into GBR and non-GBR traffic helps both, understanding the load situation in the reporting entity and </w:t>
      </w:r>
      <w:r>
        <w:rPr>
          <w:rFonts w:eastAsia="SimSun" w:hint="eastAsia"/>
          <w:b/>
          <w:bCs/>
          <w:lang w:val="en-US" w:eastAsia="zh-CN"/>
        </w:rPr>
        <w:t>comparing</w:t>
      </w:r>
      <w:r>
        <w:rPr>
          <w:b/>
          <w:bCs/>
        </w:rPr>
        <w:t xml:space="preserve"> this information to other reporting level.</w:t>
      </w:r>
    </w:p>
    <w:p w14:paraId="35D95CA6" w14:textId="6C325ED1" w:rsidR="00A2666D" w:rsidRDefault="009D6B73">
      <w:r>
        <w:t xml:space="preserve">The alternative, i.e. reporting “available PRBs” does not allow for the above benefits. However, it has even bigger drawback: it opens the door to revealing RRM policy, which was assumed to be </w:t>
      </w:r>
      <w:proofErr w:type="gramStart"/>
      <w:r>
        <w:t>absolutely not</w:t>
      </w:r>
      <w:proofErr w:type="gramEnd"/>
      <w:r>
        <w:t xml:space="preserve"> acceptable. This is because the plain declaration that some PRBs are “available” in the slice means that there is some upper limit of PRBs per slice – which then may be reported, too. Also, there is a risk</w:t>
      </w:r>
      <w:r>
        <w:rPr>
          <w:rFonts w:eastAsia="SimSun" w:hint="eastAsia"/>
          <w:lang w:val="en-US" w:eastAsia="zh-CN"/>
        </w:rPr>
        <w:t xml:space="preserve"> </w:t>
      </w:r>
      <w:r>
        <w:t xml:space="preserve">that in case of shared resources, the “available PRBs” per each </w:t>
      </w:r>
      <w:r>
        <w:rPr>
          <w:rFonts w:eastAsia="SimSun" w:hint="eastAsia"/>
          <w:lang w:val="en-US" w:eastAsia="zh-CN"/>
        </w:rPr>
        <w:t>slice</w:t>
      </w:r>
      <w:r>
        <w:t xml:space="preserve"> will be the same as total non-allocated PRBs in the cell. This will </w:t>
      </w:r>
      <w:proofErr w:type="gramStart"/>
      <w:r>
        <w:t>completely annihilate</w:t>
      </w:r>
      <w:proofErr w:type="gramEnd"/>
      <w:r>
        <w:t xml:space="preserve"> any benefit of the offered information.</w:t>
      </w:r>
    </w:p>
    <w:p w14:paraId="29A41923" w14:textId="471AEBF0" w:rsidR="00A2666D" w:rsidRDefault="009D6B73">
      <w:pPr>
        <w:rPr>
          <w:b/>
          <w:bCs/>
        </w:rPr>
      </w:pPr>
      <w:r>
        <w:rPr>
          <w:b/>
          <w:bCs/>
        </w:rPr>
        <w:t xml:space="preserve">Observation 2: Reporting the “available PRBs” will open </w:t>
      </w:r>
      <w:r w:rsidR="00686EDC">
        <w:rPr>
          <w:b/>
          <w:bCs/>
        </w:rPr>
        <w:t xml:space="preserve">the </w:t>
      </w:r>
      <w:r>
        <w:rPr>
          <w:b/>
          <w:bCs/>
        </w:rPr>
        <w:t>door for demands to add the total per-slice quota of resources, i.e. the RRM policy.</w:t>
      </w:r>
    </w:p>
    <w:p w14:paraId="17650E16" w14:textId="6E5DF6D8" w:rsidR="00A2666D" w:rsidRDefault="009D6B73">
      <w:pPr>
        <w:rPr>
          <w:b/>
          <w:bCs/>
        </w:rPr>
      </w:pPr>
      <w:r>
        <w:rPr>
          <w:b/>
          <w:bCs/>
        </w:rPr>
        <w:t xml:space="preserve">Proposal 1: The reported information shall concern utilised PRBs per slice, preferably split into PRBs allocated for GBR and non-GBR traffic. This information shall be added to F1 and </w:t>
      </w:r>
      <w:proofErr w:type="spellStart"/>
      <w:r>
        <w:rPr>
          <w:b/>
          <w:bCs/>
        </w:rPr>
        <w:t>Xn</w:t>
      </w:r>
      <w:proofErr w:type="spellEnd"/>
      <w:r>
        <w:rPr>
          <w:b/>
          <w:bCs/>
        </w:rPr>
        <w:t>.</w:t>
      </w:r>
    </w:p>
    <w:p w14:paraId="1ADA2894" w14:textId="77777777" w:rsidR="00A2666D" w:rsidRDefault="009D6B73">
      <w:r>
        <w:lastRenderedPageBreak/>
        <w:t>At RAN3 #110-e, it was also proposed to have the information split further into PRBs dedicated for the slice and such that are shared with other slices. This offers extra information, but significantly complicates the signalling and reveals more details about resource management. On the other hand, one should consider that the value of the PRB does not depend on the fact that it is shared or dedicated – it may be used for the slice traffic either way.</w:t>
      </w:r>
    </w:p>
    <w:p w14:paraId="3E536D4A" w14:textId="49497946" w:rsidR="00A2666D" w:rsidRDefault="009D6B73">
      <w:pPr>
        <w:rPr>
          <w:b/>
          <w:bCs/>
        </w:rPr>
      </w:pPr>
      <w:r>
        <w:rPr>
          <w:b/>
          <w:bCs/>
        </w:rPr>
        <w:t>Proposal 2: The new information concerns all PRBs utilised in a slice. The signalling shall allow adding information on the dedicated and shared PRBs in future.</w:t>
      </w:r>
    </w:p>
    <w:p w14:paraId="21947A37" w14:textId="77777777" w:rsidR="00A2666D" w:rsidRDefault="009D6B73">
      <w:pPr>
        <w:pStyle w:val="Heading1"/>
      </w:pPr>
      <w:r>
        <w:t>3</w:t>
      </w:r>
      <w:r>
        <w:tab/>
        <w:t>Conclusions</w:t>
      </w:r>
    </w:p>
    <w:p w14:paraId="58214AA6" w14:textId="77777777" w:rsidR="00A2666D" w:rsidRDefault="009D6B73">
      <w:pPr>
        <w:jc w:val="both"/>
        <w:rPr>
          <w:bCs/>
        </w:rPr>
      </w:pPr>
      <w:r>
        <w:rPr>
          <w:bCs/>
        </w:rPr>
        <w:t>In this paper, we’ve discussed the purpose for PRB reporting per slice and proposed a simple method to enable it. We’ve made following observations:</w:t>
      </w:r>
    </w:p>
    <w:p w14:paraId="131137A5" w14:textId="636C7295" w:rsidR="00A2666D" w:rsidRDefault="009D6B73">
      <w:pPr>
        <w:rPr>
          <w:b/>
          <w:bCs/>
        </w:rPr>
      </w:pPr>
      <w:r>
        <w:rPr>
          <w:b/>
          <w:bCs/>
        </w:rPr>
        <w:t xml:space="preserve">Observation 1: Reporting PRB utilisation split into GBR and non-GBR traffic helps both, understanding the load situation in the reporting entity and </w:t>
      </w:r>
      <w:r>
        <w:rPr>
          <w:rFonts w:eastAsia="SimSun" w:hint="eastAsia"/>
          <w:b/>
          <w:bCs/>
          <w:lang w:val="en-US" w:eastAsia="zh-CN"/>
        </w:rPr>
        <w:t>comparing</w:t>
      </w:r>
      <w:r>
        <w:rPr>
          <w:b/>
          <w:bCs/>
        </w:rPr>
        <w:t xml:space="preserve"> this information to other reporting level.</w:t>
      </w:r>
    </w:p>
    <w:p w14:paraId="16906B58" w14:textId="5498232F" w:rsidR="00A2666D" w:rsidRDefault="009D6B73">
      <w:pPr>
        <w:rPr>
          <w:b/>
          <w:bCs/>
        </w:rPr>
      </w:pPr>
      <w:r>
        <w:rPr>
          <w:b/>
          <w:bCs/>
        </w:rPr>
        <w:t xml:space="preserve">Observation 2: Reporting the “available PRBs” will open </w:t>
      </w:r>
      <w:r w:rsidR="00686EDC">
        <w:rPr>
          <w:b/>
          <w:bCs/>
        </w:rPr>
        <w:t xml:space="preserve">the </w:t>
      </w:r>
      <w:r>
        <w:rPr>
          <w:b/>
          <w:bCs/>
        </w:rPr>
        <w:t>door for demands to add the total per-slice quota of resources, i.e. the RRM policy.</w:t>
      </w:r>
    </w:p>
    <w:p w14:paraId="3D72BD80" w14:textId="77777777" w:rsidR="00A2666D" w:rsidRDefault="009D6B73">
      <w:pPr>
        <w:jc w:val="both"/>
        <w:rPr>
          <w:bCs/>
        </w:rPr>
      </w:pPr>
      <w:r>
        <w:rPr>
          <w:bCs/>
        </w:rPr>
        <w:t>They allowed us to make following proposals:</w:t>
      </w:r>
    </w:p>
    <w:p w14:paraId="75DCA99E" w14:textId="1D6884E4" w:rsidR="00A2666D" w:rsidRDefault="009D6B73">
      <w:pPr>
        <w:rPr>
          <w:b/>
          <w:bCs/>
        </w:rPr>
      </w:pPr>
      <w:r>
        <w:rPr>
          <w:b/>
          <w:bCs/>
        </w:rPr>
        <w:t xml:space="preserve">Proposal 1: The reported information shall concern utilised PRBs per slice, preferably split into PRBs allocated for GBR and non-GBR traffic. This information shall be added to F1 and </w:t>
      </w:r>
      <w:proofErr w:type="spellStart"/>
      <w:r>
        <w:rPr>
          <w:b/>
          <w:bCs/>
        </w:rPr>
        <w:t>Xn</w:t>
      </w:r>
      <w:proofErr w:type="spellEnd"/>
      <w:r>
        <w:rPr>
          <w:b/>
          <w:bCs/>
        </w:rPr>
        <w:t>.</w:t>
      </w:r>
    </w:p>
    <w:p w14:paraId="2D641599" w14:textId="31709424" w:rsidR="00A2666D" w:rsidRDefault="009D6B73">
      <w:pPr>
        <w:rPr>
          <w:b/>
          <w:bCs/>
        </w:rPr>
      </w:pPr>
      <w:r>
        <w:rPr>
          <w:b/>
          <w:bCs/>
        </w:rPr>
        <w:t>Proposal 2: The new information concerns all PRBs utilised in a slice. The signalling shall allow adding information on the dedicated and shared PRBs in future.</w:t>
      </w:r>
    </w:p>
    <w:p w14:paraId="739D6A84" w14:textId="7E459EB7" w:rsidR="00A2666D" w:rsidRDefault="009D6B73">
      <w:pPr>
        <w:jc w:val="both"/>
        <w:rPr>
          <w:bCs/>
        </w:rPr>
      </w:pPr>
      <w:r>
        <w:rPr>
          <w:bCs/>
        </w:rPr>
        <w:t xml:space="preserve">The solution is implemented in two TPs proposed for F1AP [2] and </w:t>
      </w:r>
      <w:proofErr w:type="spellStart"/>
      <w:r>
        <w:rPr>
          <w:bCs/>
        </w:rPr>
        <w:t>XnAP</w:t>
      </w:r>
      <w:proofErr w:type="spellEnd"/>
      <w:r>
        <w:rPr>
          <w:bCs/>
        </w:rPr>
        <w:t xml:space="preserve"> [3].</w:t>
      </w:r>
    </w:p>
    <w:p w14:paraId="790C4548" w14:textId="77777777" w:rsidR="00A2666D" w:rsidRDefault="009D6B73">
      <w:pPr>
        <w:pStyle w:val="Heading1"/>
      </w:pPr>
      <w:r>
        <w:t>References</w:t>
      </w:r>
    </w:p>
    <w:p w14:paraId="66CADAC2" w14:textId="77777777" w:rsidR="00A2666D" w:rsidRDefault="009D6B73">
      <w:pPr>
        <w:numPr>
          <w:ilvl w:val="0"/>
          <w:numId w:val="2"/>
        </w:numPr>
        <w:overflowPunct w:val="0"/>
        <w:autoSpaceDE w:val="0"/>
        <w:autoSpaceDN w:val="0"/>
        <w:adjustRightInd w:val="0"/>
        <w:textAlignment w:val="baseline"/>
      </w:pPr>
      <w:r>
        <w:t>R3-210148, RAN3 #111-e</w:t>
      </w:r>
    </w:p>
    <w:p w14:paraId="0F372B35" w14:textId="7D4C6922" w:rsidR="00A2666D" w:rsidRDefault="009D6B73">
      <w:pPr>
        <w:numPr>
          <w:ilvl w:val="0"/>
          <w:numId w:val="2"/>
        </w:numPr>
        <w:overflowPunct w:val="0"/>
        <w:autoSpaceDE w:val="0"/>
        <w:autoSpaceDN w:val="0"/>
        <w:adjustRightInd w:val="0"/>
        <w:textAlignment w:val="baseline"/>
      </w:pPr>
      <w:r>
        <w:t>R3-21</w:t>
      </w:r>
      <w:r w:rsidR="00FC549E">
        <w:t>1555</w:t>
      </w:r>
      <w:r>
        <w:t>, RAN3 #112-e</w:t>
      </w:r>
    </w:p>
    <w:p w14:paraId="528144DA" w14:textId="709E5880" w:rsidR="00A2666D" w:rsidRDefault="009D6B73">
      <w:pPr>
        <w:numPr>
          <w:ilvl w:val="0"/>
          <w:numId w:val="2"/>
        </w:numPr>
        <w:overflowPunct w:val="0"/>
        <w:autoSpaceDE w:val="0"/>
        <w:autoSpaceDN w:val="0"/>
        <w:adjustRightInd w:val="0"/>
        <w:textAlignment w:val="baseline"/>
      </w:pPr>
      <w:r>
        <w:t>R3-21</w:t>
      </w:r>
      <w:r w:rsidR="00FC549E">
        <w:t>1569</w:t>
      </w:r>
      <w:r>
        <w:t>, RAN3 #112-e</w:t>
      </w:r>
    </w:p>
    <w:p w14:paraId="443B4CAA" w14:textId="77777777" w:rsidR="00A2666D" w:rsidRDefault="00A2666D">
      <w:pPr>
        <w:overflowPunct w:val="0"/>
        <w:autoSpaceDE w:val="0"/>
        <w:autoSpaceDN w:val="0"/>
        <w:adjustRightInd w:val="0"/>
        <w:textAlignment w:val="baseline"/>
      </w:pPr>
    </w:p>
    <w:sectPr w:rsidR="00A2666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D3033" w14:textId="77777777" w:rsidR="008F4A27" w:rsidRDefault="008F4A27" w:rsidP="009D6B73">
      <w:pPr>
        <w:spacing w:after="0" w:line="240" w:lineRule="auto"/>
      </w:pPr>
      <w:r>
        <w:separator/>
      </w:r>
    </w:p>
  </w:endnote>
  <w:endnote w:type="continuationSeparator" w:id="0">
    <w:p w14:paraId="0E6A79DF" w14:textId="77777777" w:rsidR="008F4A27" w:rsidRDefault="008F4A27" w:rsidP="009D6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66A7C4" w14:textId="77777777" w:rsidR="008F4A27" w:rsidRDefault="008F4A27" w:rsidP="009D6B73">
      <w:pPr>
        <w:spacing w:after="0" w:line="240" w:lineRule="auto"/>
      </w:pPr>
      <w:r>
        <w:separator/>
      </w:r>
    </w:p>
  </w:footnote>
  <w:footnote w:type="continuationSeparator" w:id="0">
    <w:p w14:paraId="33026DC1" w14:textId="77777777" w:rsidR="008F4A27" w:rsidRDefault="008F4A27" w:rsidP="009D6B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D5888"/>
    <w:multiLevelType w:val="multilevel"/>
    <w:tmpl w:val="033D5888"/>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5B674CF1"/>
    <w:multiLevelType w:val="multilevel"/>
    <w:tmpl w:val="5B674CF1"/>
    <w:lvl w:ilvl="0">
      <w:start w:val="2"/>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36C92"/>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0B29"/>
    <w:rsid w:val="001846BC"/>
    <w:rsid w:val="00185B0F"/>
    <w:rsid w:val="00185F2B"/>
    <w:rsid w:val="00186739"/>
    <w:rsid w:val="00186930"/>
    <w:rsid w:val="00186FC5"/>
    <w:rsid w:val="00187D05"/>
    <w:rsid w:val="00187F07"/>
    <w:rsid w:val="0019067C"/>
    <w:rsid w:val="001923C0"/>
    <w:rsid w:val="0019318E"/>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6C19"/>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2CC8"/>
    <w:rsid w:val="003C304E"/>
    <w:rsid w:val="003C333B"/>
    <w:rsid w:val="003C48A5"/>
    <w:rsid w:val="003C4E37"/>
    <w:rsid w:val="003C7671"/>
    <w:rsid w:val="003D50E6"/>
    <w:rsid w:val="003D59CD"/>
    <w:rsid w:val="003D68B5"/>
    <w:rsid w:val="003D7AC4"/>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6CE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17B84"/>
    <w:rsid w:val="00520A53"/>
    <w:rsid w:val="00522C51"/>
    <w:rsid w:val="00526054"/>
    <w:rsid w:val="00526E01"/>
    <w:rsid w:val="00530762"/>
    <w:rsid w:val="005323EE"/>
    <w:rsid w:val="00534DA0"/>
    <w:rsid w:val="00537356"/>
    <w:rsid w:val="005411E7"/>
    <w:rsid w:val="00543E6C"/>
    <w:rsid w:val="00544ECE"/>
    <w:rsid w:val="0054605D"/>
    <w:rsid w:val="00552573"/>
    <w:rsid w:val="005536AB"/>
    <w:rsid w:val="00553CB6"/>
    <w:rsid w:val="00556793"/>
    <w:rsid w:val="0056341C"/>
    <w:rsid w:val="00565087"/>
    <w:rsid w:val="0056573F"/>
    <w:rsid w:val="00566445"/>
    <w:rsid w:val="00566D2C"/>
    <w:rsid w:val="005731F4"/>
    <w:rsid w:val="00573616"/>
    <w:rsid w:val="005759A2"/>
    <w:rsid w:val="00576820"/>
    <w:rsid w:val="0058588B"/>
    <w:rsid w:val="005858B9"/>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3F33"/>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1471"/>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37D2"/>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01F0"/>
    <w:rsid w:val="00682281"/>
    <w:rsid w:val="00683C17"/>
    <w:rsid w:val="00684AB0"/>
    <w:rsid w:val="00685083"/>
    <w:rsid w:val="006859FC"/>
    <w:rsid w:val="006863A7"/>
    <w:rsid w:val="00686EDC"/>
    <w:rsid w:val="00690975"/>
    <w:rsid w:val="00690FBE"/>
    <w:rsid w:val="0069274F"/>
    <w:rsid w:val="00696D6B"/>
    <w:rsid w:val="00697279"/>
    <w:rsid w:val="006978CD"/>
    <w:rsid w:val="006A04E4"/>
    <w:rsid w:val="006A0EEC"/>
    <w:rsid w:val="006A119F"/>
    <w:rsid w:val="006A1637"/>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0FB2"/>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2C76"/>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07D9"/>
    <w:rsid w:val="00862A45"/>
    <w:rsid w:val="00866280"/>
    <w:rsid w:val="00866E76"/>
    <w:rsid w:val="00866F16"/>
    <w:rsid w:val="0086799C"/>
    <w:rsid w:val="00870AEC"/>
    <w:rsid w:val="00872097"/>
    <w:rsid w:val="00875BEE"/>
    <w:rsid w:val="008768CA"/>
    <w:rsid w:val="00876971"/>
    <w:rsid w:val="00877813"/>
    <w:rsid w:val="00877877"/>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35DC"/>
    <w:rsid w:val="008F4A27"/>
    <w:rsid w:val="008F5E56"/>
    <w:rsid w:val="008F7C0D"/>
    <w:rsid w:val="009004C7"/>
    <w:rsid w:val="00900782"/>
    <w:rsid w:val="009008E1"/>
    <w:rsid w:val="0090271F"/>
    <w:rsid w:val="00902F2C"/>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3FDC"/>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4014"/>
    <w:rsid w:val="009C55D0"/>
    <w:rsid w:val="009C55E8"/>
    <w:rsid w:val="009C5D10"/>
    <w:rsid w:val="009C67DB"/>
    <w:rsid w:val="009C7DAE"/>
    <w:rsid w:val="009D0FF6"/>
    <w:rsid w:val="009D30B7"/>
    <w:rsid w:val="009D6B73"/>
    <w:rsid w:val="009D73C0"/>
    <w:rsid w:val="009E2AFC"/>
    <w:rsid w:val="009E3E1E"/>
    <w:rsid w:val="009E48B1"/>
    <w:rsid w:val="009F056C"/>
    <w:rsid w:val="009F17BF"/>
    <w:rsid w:val="009F4335"/>
    <w:rsid w:val="009F482E"/>
    <w:rsid w:val="00A00DC2"/>
    <w:rsid w:val="00A01921"/>
    <w:rsid w:val="00A02AD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66D"/>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1C4"/>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074"/>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709"/>
    <w:rsid w:val="00BA0F1F"/>
    <w:rsid w:val="00BA2519"/>
    <w:rsid w:val="00BA4DBE"/>
    <w:rsid w:val="00BA79DD"/>
    <w:rsid w:val="00BB05BD"/>
    <w:rsid w:val="00BC11EC"/>
    <w:rsid w:val="00BC1987"/>
    <w:rsid w:val="00BC434A"/>
    <w:rsid w:val="00BC6DEB"/>
    <w:rsid w:val="00BD1CBC"/>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55"/>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1897"/>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A3A"/>
    <w:rsid w:val="00D23C6C"/>
    <w:rsid w:val="00D25448"/>
    <w:rsid w:val="00D313EF"/>
    <w:rsid w:val="00D316E4"/>
    <w:rsid w:val="00D32E0F"/>
    <w:rsid w:val="00D334AB"/>
    <w:rsid w:val="00D337BB"/>
    <w:rsid w:val="00D34147"/>
    <w:rsid w:val="00D34B44"/>
    <w:rsid w:val="00D34C43"/>
    <w:rsid w:val="00D36592"/>
    <w:rsid w:val="00D40F2E"/>
    <w:rsid w:val="00D417CD"/>
    <w:rsid w:val="00D435CF"/>
    <w:rsid w:val="00D46851"/>
    <w:rsid w:val="00D47AA0"/>
    <w:rsid w:val="00D509BB"/>
    <w:rsid w:val="00D515CE"/>
    <w:rsid w:val="00D53116"/>
    <w:rsid w:val="00D537F6"/>
    <w:rsid w:val="00D55066"/>
    <w:rsid w:val="00D572DA"/>
    <w:rsid w:val="00D62561"/>
    <w:rsid w:val="00D62C0A"/>
    <w:rsid w:val="00D65932"/>
    <w:rsid w:val="00D65B22"/>
    <w:rsid w:val="00D67715"/>
    <w:rsid w:val="00D67DBE"/>
    <w:rsid w:val="00D7086E"/>
    <w:rsid w:val="00D738D6"/>
    <w:rsid w:val="00D74075"/>
    <w:rsid w:val="00D755C9"/>
    <w:rsid w:val="00D7580B"/>
    <w:rsid w:val="00D76883"/>
    <w:rsid w:val="00D80292"/>
    <w:rsid w:val="00D80795"/>
    <w:rsid w:val="00D808B5"/>
    <w:rsid w:val="00D83F39"/>
    <w:rsid w:val="00D84CB1"/>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1392"/>
    <w:rsid w:val="00DC2754"/>
    <w:rsid w:val="00DC309B"/>
    <w:rsid w:val="00DC4DA2"/>
    <w:rsid w:val="00DC5291"/>
    <w:rsid w:val="00DD2F40"/>
    <w:rsid w:val="00DD34F0"/>
    <w:rsid w:val="00DD3784"/>
    <w:rsid w:val="00DD40A9"/>
    <w:rsid w:val="00DD4EE9"/>
    <w:rsid w:val="00DD53C0"/>
    <w:rsid w:val="00DD58E9"/>
    <w:rsid w:val="00DE0769"/>
    <w:rsid w:val="00DE2D47"/>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79E"/>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6A78"/>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2BB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362B"/>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2672"/>
    <w:rsid w:val="00FA4A45"/>
    <w:rsid w:val="00FA755C"/>
    <w:rsid w:val="00FB1B54"/>
    <w:rsid w:val="00FB2B6A"/>
    <w:rsid w:val="00FB4B7E"/>
    <w:rsid w:val="00FB7070"/>
    <w:rsid w:val="00FC1192"/>
    <w:rsid w:val="00FC144E"/>
    <w:rsid w:val="00FC1A80"/>
    <w:rsid w:val="00FC4C02"/>
    <w:rsid w:val="00FC526A"/>
    <w:rsid w:val="00FC549E"/>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1B8E0352"/>
    <w:rsid w:val="53E8EE69"/>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E5BD47"/>
  <w15:docId w15:val="{2F469C59-BD41-4745-B968-CFFF65DCB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annotation text" w:qFormat="1"/>
    <w:lsdException w:name="header" w:uiPriority="99" w:qFormat="1"/>
    <w:lsdException w:name="footer" w:qFormat="1"/>
    <w:lsdException w:name="caption" w:unhideWhenUsed="1" w:qFormat="1"/>
    <w:lsdException w:name="annotation reference" w:qFormat="1"/>
    <w:lsdException w:name="List" w:qFormat="1"/>
    <w:lsdException w:name="List Bullet"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Caption">
    <w:name w:val="caption"/>
    <w:basedOn w:val="Normal"/>
    <w:next w:val="Normal"/>
    <w:unhideWhenUsed/>
    <w:qFormat/>
    <w:rPr>
      <w:b/>
      <w:bCs/>
    </w:rPr>
  </w:style>
  <w:style w:type="paragraph" w:styleId="ListBullet">
    <w:name w:val="List Bullet"/>
    <w:basedOn w:val="List"/>
    <w:qFormat/>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qFormat/>
    <w:pPr>
      <w:ind w:left="200" w:hangingChars="200" w:hanging="200"/>
      <w:contextualSpacing/>
    </w:p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uiPriority w:val="99"/>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uiPriority w:val="9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Heading1Char">
    <w:name w:val="Heading 1 Char"/>
    <w:link w:val="Heading1"/>
    <w:qFormat/>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alloonTextChar">
    <w:name w:val="Balloon Text Char"/>
    <w:link w:val="BalloonText"/>
    <w:qFormat/>
    <w:rPr>
      <w:rFonts w:ascii="Segoe UI" w:hAnsi="Segoe UI" w:cs="Segoe UI"/>
      <w:sz w:val="18"/>
      <w:szCs w:val="18"/>
      <w:lang w:val="en-GB"/>
    </w:rPr>
  </w:style>
  <w:style w:type="character" w:customStyle="1" w:styleId="TFChar">
    <w:name w:val="TF Char"/>
    <w:link w:val="TF"/>
    <w:qFormat/>
    <w:rPr>
      <w:rFonts w:ascii="Arial" w:hAnsi="Arial"/>
      <w:b/>
      <w:lang w:val="en-GB"/>
    </w:rPr>
  </w:style>
  <w:style w:type="character" w:customStyle="1" w:styleId="B1Zchn">
    <w:name w:val="B1 Zchn"/>
    <w:link w:val="B1"/>
    <w:qFormat/>
    <w:locked/>
    <w:rPr>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color w:val="FF0000"/>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normaltextrun">
    <w:name w:val="normaltextrun"/>
    <w:qFormat/>
  </w:style>
  <w:style w:type="character" w:customStyle="1" w:styleId="eop">
    <w:name w:val="eop"/>
    <w:qFormat/>
  </w:style>
  <w:style w:type="paragraph" w:styleId="ListParagraph">
    <w:name w:val="List Paragraph"/>
    <w:basedOn w:val="Normal"/>
    <w:uiPriority w:val="34"/>
    <w:qFormat/>
    <w:pPr>
      <w:ind w:left="720"/>
      <w:contextualSpacing/>
    </w:pPr>
    <w:rPr>
      <w:rFonts w:eastAsia="Times New Roman"/>
      <w:szCs w:val="24"/>
      <w:lang w:val="en-US"/>
    </w:rPr>
  </w:style>
  <w:style w:type="character" w:customStyle="1" w:styleId="TALChar">
    <w:name w:val="TAL Char"/>
    <w:link w:val="TAL"/>
    <w:qFormat/>
    <w:rPr>
      <w:rFonts w:ascii="Arial" w:hAnsi="Arial"/>
      <w:sz w:val="18"/>
      <w:lang w:val="en-GB"/>
    </w:rPr>
  </w:style>
  <w:style w:type="character" w:customStyle="1" w:styleId="TAHCar">
    <w:name w:val="TAH Car"/>
    <w:link w:val="TAH"/>
    <w:qFormat/>
    <w:locked/>
    <w:rPr>
      <w:rFonts w:ascii="Arial" w:hAnsi="Arial"/>
      <w:b/>
      <w:sz w:val="18"/>
      <w:lang w:val="en-GB"/>
    </w:rPr>
  </w:style>
  <w:style w:type="paragraph" w:customStyle="1" w:styleId="Revision1">
    <w:name w:val="Revision1"/>
    <w:hidden/>
    <w:uiPriority w:val="99"/>
    <w:semiHidden/>
    <w:qFormat/>
    <w:rPr>
      <w:lang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Pr>
      <w:rFonts w:ascii="Arial" w:eastAsia="MS Mincho" w:hAnsi="Arial"/>
      <w:lang w:val="en-GB"/>
    </w:rPr>
  </w:style>
  <w:style w:type="paragraph" w:customStyle="1" w:styleId="paragraph">
    <w:name w:val="paragraph"/>
    <w:basedOn w:val="Normal"/>
    <w:qFormat/>
    <w:pPr>
      <w:spacing w:after="0"/>
    </w:pPr>
    <w:rPr>
      <w:rFonts w:eastAsia="Times New Roman"/>
      <w:sz w:val="24"/>
      <w:szCs w:val="24"/>
      <w:lang w:val="fi-FI" w:eastAsia="fi-FI"/>
    </w:rPr>
  </w:style>
  <w:style w:type="character" w:customStyle="1" w:styleId="spellingerror">
    <w:name w:val="spellingerror"/>
    <w:qFormat/>
  </w:style>
  <w:style w:type="character" w:customStyle="1" w:styleId="contextualspellingandgrammarerror">
    <w:name w:val="contextualspellingandgrammarerror"/>
    <w:qFormat/>
  </w:style>
  <w:style w:type="character" w:customStyle="1" w:styleId="normaltextrun1">
    <w:name w:val="normaltextrun1"/>
    <w:qFormat/>
  </w:style>
  <w:style w:type="character" w:customStyle="1" w:styleId="Heading4Char">
    <w:name w:val="Heading 4 Char"/>
    <w:basedOn w:val="DefaultParagraphFont"/>
    <w:link w:val="Heading4"/>
    <w:qFormat/>
    <w:rPr>
      <w:rFonts w:ascii="Arial" w:hAnsi="Arial"/>
      <w:sz w:val="24"/>
      <w:lang w:val="en-GB" w:eastAsia="en-US"/>
    </w:rPr>
  </w:style>
  <w:style w:type="paragraph" w:customStyle="1" w:styleId="StyleListParagraph10pt">
    <w:name w:val="Style List Paragraph + 10 pt"/>
    <w:basedOn w:val="ListParagraph"/>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71FD061-CF2C-46AE-91D3-E27BA2487375}">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8.xml><?xml version="1.0" encoding="utf-8"?>
<ds:datastoreItem xmlns:ds="http://schemas.openxmlformats.org/officeDocument/2006/customXml" ds:itemID="{6BEF9E07-C0B7-4A78-B4C1-0E24F86315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2</Pages>
  <Words>672</Words>
  <Characters>3836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Simple information on PRB utilisation per slice</vt:lpstr>
    </vt:vector>
  </TitlesOfParts>
  <Company>Nokia, Nokia Shanghai Bell, ZTE, Deutsche Telekom, BT, China Telecom</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discussion on the information on PRB utilisation per slice</dc:title>
  <dc:subject>3GPP RAN3 #112-e</dc:subject>
  <dc:creator>Benoist Sébire</dc:creator>
  <cp:keywords>&lt;keyword[, keyword, ]&gt;</cp:keywords>
  <cp:lastModifiedBy>Nokia</cp:lastModifiedBy>
  <cp:revision>5</cp:revision>
  <cp:lastPrinted>2019-03-27T07:16:00Z</cp:lastPrinted>
  <dcterms:created xsi:type="dcterms:W3CDTF">2021-04-23T15:49:00Z</dcterms:created>
  <dcterms:modified xsi:type="dcterms:W3CDTF">2021-05-06T13:38:00Z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y fmtid="{D5CDD505-2E9C-101B-9397-08002B2CF9AE}" pid="6" name="KSOProductBuildVer">
    <vt:lpwstr>2052-11.8.2.9022</vt:lpwstr>
  </property>
  <property fmtid="{D5CDD505-2E9C-101B-9397-08002B2CF9AE}" pid="7" name="MSIP_Label_55818d02-8d25-4bb9-b27c-e4db64670887_Enabled">
    <vt:lpwstr>true</vt:lpwstr>
  </property>
  <property fmtid="{D5CDD505-2E9C-101B-9397-08002B2CF9AE}" pid="8" name="MSIP_Label_55818d02-8d25-4bb9-b27c-e4db64670887_SetDate">
    <vt:lpwstr>2021-04-23T08:17:41Z</vt:lpwstr>
  </property>
  <property fmtid="{D5CDD505-2E9C-101B-9397-08002B2CF9AE}" pid="9" name="MSIP_Label_55818d02-8d25-4bb9-b27c-e4db64670887_Method">
    <vt:lpwstr>Standard</vt:lpwstr>
  </property>
  <property fmtid="{D5CDD505-2E9C-101B-9397-08002B2CF9AE}" pid="10" name="MSIP_Label_55818d02-8d25-4bb9-b27c-e4db64670887_Name">
    <vt:lpwstr>55818d02-8d25-4bb9-b27c-e4db64670887</vt:lpwstr>
  </property>
  <property fmtid="{D5CDD505-2E9C-101B-9397-08002B2CF9AE}" pid="11" name="MSIP_Label_55818d02-8d25-4bb9-b27c-e4db64670887_SiteId">
    <vt:lpwstr>a7f35688-9c00-4d5e-ba41-29f146377ab0</vt:lpwstr>
  </property>
  <property fmtid="{D5CDD505-2E9C-101B-9397-08002B2CF9AE}" pid="12" name="MSIP_Label_55818d02-8d25-4bb9-b27c-e4db64670887_ActionId">
    <vt:lpwstr>5f020aea-7c71-4d7f-8abd-32c8d2321bba</vt:lpwstr>
  </property>
  <property fmtid="{D5CDD505-2E9C-101B-9397-08002B2CF9AE}" pid="13" name="MSIP_Label_55818d02-8d25-4bb9-b27c-e4db64670887_ContentBits">
    <vt:lpwstr>0</vt:lpwstr>
  </property>
</Properties>
</file>